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BF0" w14:textId="77777777" w:rsidR="00986DC2" w:rsidRPr="009C7D64" w:rsidRDefault="00986DC2" w:rsidP="00986DC2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9C7D64">
        <w:rPr>
          <w:rFonts w:ascii="Times New Roman" w:hAnsi="Times New Roman" w:cs="Times New Roman"/>
          <w:b/>
          <w:color w:val="000000" w:themeColor="text1"/>
          <w:sz w:val="32"/>
        </w:rPr>
        <w:t>Scoring Rubric</w:t>
      </w:r>
      <w:r w:rsidRPr="009C7D64">
        <w:rPr>
          <w:rFonts w:ascii="Times New Roman" w:hAnsi="Times New Roman" w:cs="Times New Roman"/>
          <w:b/>
          <w:color w:val="000000" w:themeColor="text1"/>
          <w:sz w:val="32"/>
        </w:rPr>
        <w:br/>
        <w:t>Rigor and Reproducibility</w:t>
      </w:r>
    </w:p>
    <w:p w14:paraId="31E33922" w14:textId="77777777" w:rsidR="00986DC2" w:rsidRDefault="00986DC2" w:rsidP="00986DC2">
      <w:pPr>
        <w:spacing w:before="240" w:after="0" w:line="240" w:lineRule="auto"/>
        <w:jc w:val="center"/>
        <w:rPr>
          <w:b/>
        </w:rPr>
      </w:pPr>
      <w:r w:rsidRPr="009C7D64">
        <w:rPr>
          <w:rFonts w:ascii="Times New Roman" w:hAnsi="Times New Roman" w:cs="Times New Roman"/>
          <w:color w:val="000000" w:themeColor="text1"/>
        </w:rPr>
        <w:t>For your partner's Worksheet</w:t>
      </w:r>
      <w:r>
        <w:rPr>
          <w:rFonts w:ascii="Times New Roman" w:hAnsi="Times New Roman" w:cs="Times New Roman"/>
          <w:color w:val="000000" w:themeColor="text1"/>
        </w:rPr>
        <w:t xml:space="preserve"> pre (before) and post (after) entries, please enter the # of items listed, and then check off all </w:t>
      </w:r>
      <w:r w:rsidRPr="009C7D64">
        <w:rPr>
          <w:rFonts w:ascii="Times New Roman" w:hAnsi="Times New Roman" w:cs="Times New Roman"/>
          <w:color w:val="000000" w:themeColor="text1"/>
        </w:rPr>
        <w:t xml:space="preserve">listed categories </w:t>
      </w:r>
      <w:r>
        <w:rPr>
          <w:rFonts w:ascii="Times New Roman" w:hAnsi="Times New Roman" w:cs="Times New Roman"/>
          <w:color w:val="000000" w:themeColor="text1"/>
        </w:rPr>
        <w:t>included</w:t>
      </w:r>
      <w:r w:rsidRPr="009C7D64">
        <w:rPr>
          <w:rFonts w:ascii="Times New Roman" w:hAnsi="Times New Roman" w:cs="Times New Roman"/>
          <w:color w:val="000000" w:themeColor="text1"/>
        </w:rPr>
        <w:t>.</w:t>
      </w:r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2415"/>
        <w:gridCol w:w="5577"/>
        <w:gridCol w:w="720"/>
        <w:gridCol w:w="720"/>
      </w:tblGrid>
      <w:tr w:rsidR="00986DC2" w:rsidRPr="009B119D" w14:paraId="1433DF57" w14:textId="77777777" w:rsidTr="004E6071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7513AA1C" w14:textId="77777777" w:rsidR="00986DC2" w:rsidRPr="00620D72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</w:tcBorders>
          </w:tcPr>
          <w:p w14:paraId="0E71EF6F" w14:textId="77777777" w:rsidR="00986DC2" w:rsidRPr="00620D72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43FB2128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Worksheets</w:t>
            </w:r>
          </w:p>
        </w:tc>
      </w:tr>
      <w:tr w:rsidR="00986DC2" w:rsidRPr="009B119D" w14:paraId="64BD0482" w14:textId="77777777" w:rsidTr="004E6071">
        <w:tc>
          <w:tcPr>
            <w:tcW w:w="2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0BBDFC" w14:textId="77777777" w:rsidR="00986DC2" w:rsidRPr="00620D72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12" w:space="0" w:color="auto"/>
            </w:tcBorders>
          </w:tcPr>
          <w:p w14:paraId="4E843AEC" w14:textId="77777777" w:rsidR="00986DC2" w:rsidRPr="00620D72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41D5496C" w14:textId="77777777" w:rsidR="00986DC2" w:rsidRDefault="00986DC2" w:rsidP="004E60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Pre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2E6E9E56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Post</w:t>
            </w:r>
          </w:p>
        </w:tc>
      </w:tr>
      <w:tr w:rsidR="00986DC2" w:rsidRPr="009B119D" w14:paraId="5084399E" w14:textId="77777777" w:rsidTr="004E6071">
        <w:tc>
          <w:tcPr>
            <w:tcW w:w="24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262E311" w14:textId="77777777" w:rsidR="00986DC2" w:rsidRPr="00620D72" w:rsidRDefault="00986DC2" w:rsidP="004E6071">
            <w:pPr>
              <w:pStyle w:val="ListParagraph"/>
              <w:spacing w:before="100" w:beforeAutospacing="1" w:after="100" w:afterAutospacing="1"/>
              <w:ind w:left="337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</w:pPr>
          </w:p>
        </w:tc>
        <w:tc>
          <w:tcPr>
            <w:tcW w:w="55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6ADD5F8" w14:textId="77777777" w:rsidR="00986DC2" w:rsidRPr="00620D72" w:rsidRDefault="00986DC2" w:rsidP="004E607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Total # of items pre (before) and post (after).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68048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CA4274B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86DC2" w:rsidRPr="009B119D" w14:paraId="1425C2F2" w14:textId="77777777" w:rsidTr="004E6071">
        <w:tc>
          <w:tcPr>
            <w:tcW w:w="2415" w:type="dxa"/>
            <w:tcBorders>
              <w:top w:val="single" w:sz="12" w:space="0" w:color="auto"/>
            </w:tcBorders>
          </w:tcPr>
          <w:p w14:paraId="7BA34646" w14:textId="77777777" w:rsidR="00986DC2" w:rsidRPr="00620D72" w:rsidRDefault="00986DC2" w:rsidP="00986DC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3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Incentives</w:t>
            </w:r>
          </w:p>
        </w:tc>
        <w:tc>
          <w:tcPr>
            <w:tcW w:w="5577" w:type="dxa"/>
            <w:tcBorders>
              <w:top w:val="single" w:sz="12" w:space="0" w:color="auto"/>
            </w:tcBorders>
          </w:tcPr>
          <w:p w14:paraId="41CBF081" w14:textId="77777777" w:rsidR="00986DC2" w:rsidRPr="00620D72" w:rsidRDefault="00986DC2" w:rsidP="004E607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Anything stated that would </w:t>
            </w:r>
            <w:r w:rsidRPr="00620D72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push</w:t>
            </w: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someone to cut corners OR that if implemented would increase attention to good practices of research. For example: </w:t>
            </w:r>
            <w:r w:rsidRPr="00620D7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funding, promotion, credit for reproducible research practices, etc. </w:t>
            </w: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However, if training (or lack of training) is the focus, then it should be included in the </w:t>
            </w:r>
            <w:r w:rsidRPr="00620D72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Training</w:t>
            </w: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category.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7D64F1E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03A60BF7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DC2" w:rsidRPr="009B119D" w14:paraId="1702FE2B" w14:textId="77777777" w:rsidTr="004E6071">
        <w:tc>
          <w:tcPr>
            <w:tcW w:w="2415" w:type="dxa"/>
          </w:tcPr>
          <w:p w14:paraId="07B48AF2" w14:textId="77777777" w:rsidR="00986DC2" w:rsidRPr="00620D72" w:rsidRDefault="00986DC2" w:rsidP="00986DC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3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Training</w:t>
            </w:r>
          </w:p>
        </w:tc>
        <w:tc>
          <w:tcPr>
            <w:tcW w:w="5577" w:type="dxa"/>
          </w:tcPr>
          <w:p w14:paraId="34430EE7" w14:textId="77777777" w:rsidR="00986DC2" w:rsidRPr="00620D72" w:rsidRDefault="00986DC2" w:rsidP="004E607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Any mention of a need for training about how to do the science, science methods, use of statistics, promoting good practices of research, etc. If training by a mentor is referenced, that it should be included in the </w:t>
            </w:r>
            <w:r w:rsidRPr="00620D72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Mentoring</w:t>
            </w: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category.</w:t>
            </w:r>
          </w:p>
        </w:tc>
        <w:tc>
          <w:tcPr>
            <w:tcW w:w="720" w:type="dxa"/>
            <w:vAlign w:val="center"/>
          </w:tcPr>
          <w:p w14:paraId="0B9F751C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F5C67B1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DC2" w:rsidRPr="00214511" w14:paraId="06A0709F" w14:textId="77777777" w:rsidTr="004E6071">
        <w:tc>
          <w:tcPr>
            <w:tcW w:w="2415" w:type="dxa"/>
          </w:tcPr>
          <w:p w14:paraId="68DD7DAD" w14:textId="77777777" w:rsidR="00986DC2" w:rsidRPr="00620D72" w:rsidRDefault="00986DC2" w:rsidP="00986DC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3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Mentoring</w:t>
            </w:r>
          </w:p>
        </w:tc>
        <w:tc>
          <w:tcPr>
            <w:tcW w:w="5577" w:type="dxa"/>
          </w:tcPr>
          <w:p w14:paraId="142B4FAF" w14:textId="77777777" w:rsidR="00986DC2" w:rsidRPr="00620D72" w:rsidRDefault="00986DC2" w:rsidP="004E607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>Emphasis on the role of a senior members of a research group to promote good practices of research through mentoring, but also to provide oversight of the research.</w:t>
            </w:r>
          </w:p>
        </w:tc>
        <w:tc>
          <w:tcPr>
            <w:tcW w:w="720" w:type="dxa"/>
          </w:tcPr>
          <w:p w14:paraId="5C9CAD63" w14:textId="77777777" w:rsidR="00986DC2" w:rsidRPr="00D22B25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1B48D61" w14:textId="77777777" w:rsidR="00986DC2" w:rsidRPr="00D22B25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DC2" w:rsidRPr="009B119D" w14:paraId="0F53CA4E" w14:textId="77777777" w:rsidTr="004E6071">
        <w:tc>
          <w:tcPr>
            <w:tcW w:w="2415" w:type="dxa"/>
          </w:tcPr>
          <w:p w14:paraId="540D47F3" w14:textId="77777777" w:rsidR="00986DC2" w:rsidRPr="00620D72" w:rsidRDefault="00986DC2" w:rsidP="00986DC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3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Research Tools</w:t>
            </w:r>
          </w:p>
        </w:tc>
        <w:tc>
          <w:tcPr>
            <w:tcW w:w="5577" w:type="dxa"/>
          </w:tcPr>
          <w:p w14:paraId="1C8E0AFD" w14:textId="77777777" w:rsidR="00986DC2" w:rsidRPr="00620D72" w:rsidRDefault="00986DC2" w:rsidP="004E607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>Any indication of a reagent, tool, software, etc. that might vary because of failure to validate, lack of standardization, variability (e.g., genetic drift in a cell line), etc.</w:t>
            </w:r>
          </w:p>
        </w:tc>
        <w:tc>
          <w:tcPr>
            <w:tcW w:w="720" w:type="dxa"/>
          </w:tcPr>
          <w:p w14:paraId="10484EAD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0FEF041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DC2" w:rsidRPr="009B119D" w14:paraId="586AB9D7" w14:textId="77777777" w:rsidTr="004E6071">
        <w:tc>
          <w:tcPr>
            <w:tcW w:w="2415" w:type="dxa"/>
          </w:tcPr>
          <w:p w14:paraId="1C84B9E7" w14:textId="77777777" w:rsidR="00986DC2" w:rsidRPr="00620D72" w:rsidRDefault="00986DC2" w:rsidP="00986DC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3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Experimental Design</w:t>
            </w:r>
          </w:p>
        </w:tc>
        <w:tc>
          <w:tcPr>
            <w:tcW w:w="5577" w:type="dxa"/>
          </w:tcPr>
          <w:p w14:paraId="2ADC82CC" w14:textId="77777777" w:rsidR="00986DC2" w:rsidRPr="00620D72" w:rsidRDefault="00986DC2" w:rsidP="004E607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nything explicitly about blinding (to minimize bias) and controls or randomization (to protect against incorrectly interpreting something as true [or false]). A decision to simply repeat work (or not) should be included in the </w:t>
            </w:r>
            <w:r w:rsidRPr="00620D72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Other</w:t>
            </w: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category.</w:t>
            </w:r>
          </w:p>
        </w:tc>
        <w:tc>
          <w:tcPr>
            <w:tcW w:w="720" w:type="dxa"/>
          </w:tcPr>
          <w:p w14:paraId="6892A892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D59C86C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DC2" w:rsidRPr="009B119D" w14:paraId="56D26BA6" w14:textId="77777777" w:rsidTr="004E6071">
        <w:trPr>
          <w:trHeight w:val="575"/>
        </w:trPr>
        <w:tc>
          <w:tcPr>
            <w:tcW w:w="2415" w:type="dxa"/>
          </w:tcPr>
          <w:p w14:paraId="11684872" w14:textId="77777777" w:rsidR="00986DC2" w:rsidRPr="00620D72" w:rsidRDefault="00986DC2" w:rsidP="00986DC2">
            <w:pPr>
              <w:pStyle w:val="ListParagraph"/>
              <w:numPr>
                <w:ilvl w:val="0"/>
                <w:numId w:val="11"/>
              </w:numPr>
              <w:spacing w:before="100" w:beforeAutospacing="1"/>
              <w:ind w:left="33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Data Management</w:t>
            </w:r>
          </w:p>
        </w:tc>
        <w:tc>
          <w:tcPr>
            <w:tcW w:w="5577" w:type="dxa"/>
          </w:tcPr>
          <w:p w14:paraId="68B000FF" w14:textId="77777777" w:rsidR="00986DC2" w:rsidRPr="00620D72" w:rsidRDefault="00986DC2" w:rsidP="004E607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>Anything referencing keeping good records or record retention (not just of data per se, but of software changes, methods, etc.)</w:t>
            </w:r>
          </w:p>
        </w:tc>
        <w:tc>
          <w:tcPr>
            <w:tcW w:w="720" w:type="dxa"/>
          </w:tcPr>
          <w:p w14:paraId="432330B2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80FF262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DC2" w:rsidRPr="00214511" w14:paraId="093AA25A" w14:textId="77777777" w:rsidTr="004E6071">
        <w:tc>
          <w:tcPr>
            <w:tcW w:w="2415" w:type="dxa"/>
          </w:tcPr>
          <w:p w14:paraId="6178952C" w14:textId="77777777" w:rsidR="00986DC2" w:rsidRPr="00620D72" w:rsidRDefault="00986DC2" w:rsidP="00986DC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3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Statistics</w:t>
            </w:r>
          </w:p>
        </w:tc>
        <w:tc>
          <w:tcPr>
            <w:tcW w:w="5577" w:type="dxa"/>
          </w:tcPr>
          <w:p w14:paraId="69FF98F7" w14:textId="77777777" w:rsidR="00986DC2" w:rsidRPr="00620D72" w:rsidRDefault="00986DC2" w:rsidP="004E607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 xml:space="preserve">Any mention of the misuse or proper use of statistics or sample size. </w:t>
            </w: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If the focus is on the reporting of statistical methods, then that should be included in the </w:t>
            </w:r>
            <w:r w:rsidRPr="00620D72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Reporting</w:t>
            </w: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category.</w:t>
            </w:r>
          </w:p>
        </w:tc>
        <w:tc>
          <w:tcPr>
            <w:tcW w:w="720" w:type="dxa"/>
          </w:tcPr>
          <w:p w14:paraId="0D9C2FB9" w14:textId="77777777" w:rsidR="00986DC2" w:rsidRPr="00D22B25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BDF8694" w14:textId="77777777" w:rsidR="00986DC2" w:rsidRPr="00D22B25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6DC2" w:rsidRPr="009B119D" w14:paraId="21C4BE8C" w14:textId="77777777" w:rsidTr="004E6071">
        <w:tc>
          <w:tcPr>
            <w:tcW w:w="2415" w:type="dxa"/>
          </w:tcPr>
          <w:p w14:paraId="29730E38" w14:textId="77777777" w:rsidR="00986DC2" w:rsidRPr="00620D72" w:rsidRDefault="00986DC2" w:rsidP="00986DC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3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Reporting</w:t>
            </w:r>
          </w:p>
        </w:tc>
        <w:tc>
          <w:tcPr>
            <w:tcW w:w="5577" w:type="dxa"/>
          </w:tcPr>
          <w:p w14:paraId="3DF544AC" w14:textId="77777777" w:rsidR="00986DC2" w:rsidRPr="00620D72" w:rsidRDefault="00986DC2" w:rsidP="004E607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>Any failure to include something in publications (or other forms of reporting) that would make it harder or impossible for someone else to reproduce the work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(e.g.,</w:t>
            </w: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reporting of statistical methods used, </w:t>
            </w:r>
            <w:r w:rsidRPr="00620D7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sample size definition, handling of outliers, exclusion/inclusion criteria, etc.</w:t>
            </w:r>
          </w:p>
        </w:tc>
        <w:tc>
          <w:tcPr>
            <w:tcW w:w="720" w:type="dxa"/>
          </w:tcPr>
          <w:p w14:paraId="05585B85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9BBB969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DC2" w:rsidRPr="009B119D" w14:paraId="269B4D93" w14:textId="77777777" w:rsidTr="004E6071">
        <w:tc>
          <w:tcPr>
            <w:tcW w:w="2415" w:type="dxa"/>
          </w:tcPr>
          <w:p w14:paraId="13CECCB1" w14:textId="77777777" w:rsidR="00986DC2" w:rsidRPr="00620D72" w:rsidRDefault="00986DC2" w:rsidP="00986DC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3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Openness</w:t>
            </w:r>
          </w:p>
        </w:tc>
        <w:tc>
          <w:tcPr>
            <w:tcW w:w="5577" w:type="dxa"/>
          </w:tcPr>
          <w:p w14:paraId="7F8F4EE1" w14:textId="77777777" w:rsidR="00986DC2" w:rsidRPr="00620D72" w:rsidRDefault="00986DC2" w:rsidP="004E607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Any focus on open sharing of methods, materials, data, software, etc.; pre-registration (announcing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plans </w:t>
            </w: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ahead of time) </w:t>
            </w:r>
          </w:p>
        </w:tc>
        <w:tc>
          <w:tcPr>
            <w:tcW w:w="720" w:type="dxa"/>
          </w:tcPr>
          <w:p w14:paraId="37D210DD" w14:textId="77777777" w:rsidR="00986DC2" w:rsidRPr="00D22B25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0DDC355" w14:textId="77777777" w:rsidR="00986DC2" w:rsidRPr="00D22B25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DC2" w:rsidRPr="009B119D" w14:paraId="3785897C" w14:textId="77777777" w:rsidTr="004E6071">
        <w:tc>
          <w:tcPr>
            <w:tcW w:w="2415" w:type="dxa"/>
          </w:tcPr>
          <w:p w14:paraId="2EFBD4FF" w14:textId="77777777" w:rsidR="00986DC2" w:rsidRPr="00620D72" w:rsidRDefault="00986DC2" w:rsidP="00986DC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3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Peer Review</w:t>
            </w:r>
          </w:p>
        </w:tc>
        <w:tc>
          <w:tcPr>
            <w:tcW w:w="5577" w:type="dxa"/>
          </w:tcPr>
          <w:p w14:paraId="0E271740" w14:textId="77777777" w:rsidR="00986DC2" w:rsidRPr="00620D72" w:rsidRDefault="00986DC2" w:rsidP="004E607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>Any approach to peer reviewing that would enhance chance a publication will be reproducible (e.g., a check list for reviewers) OR any referencing of problems of poor or biased peer review.</w:t>
            </w:r>
          </w:p>
        </w:tc>
        <w:tc>
          <w:tcPr>
            <w:tcW w:w="720" w:type="dxa"/>
          </w:tcPr>
          <w:p w14:paraId="0CB3B936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5D5009E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DC2" w:rsidRPr="00214511" w14:paraId="37BCCBBF" w14:textId="77777777" w:rsidTr="004E6071">
        <w:tc>
          <w:tcPr>
            <w:tcW w:w="2415" w:type="dxa"/>
          </w:tcPr>
          <w:p w14:paraId="18F83CF4" w14:textId="77777777" w:rsidR="00986DC2" w:rsidRPr="00620D72" w:rsidRDefault="00986DC2" w:rsidP="00986DC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3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Other</w:t>
            </w:r>
          </w:p>
        </w:tc>
        <w:tc>
          <w:tcPr>
            <w:tcW w:w="5577" w:type="dxa"/>
          </w:tcPr>
          <w:p w14:paraId="06472D7E" w14:textId="77777777" w:rsidR="00986DC2" w:rsidRPr="00620D72" w:rsidRDefault="00986DC2" w:rsidP="004E607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If something doesn't easily fit into one of the other categories, then it should be put in this category. Some examples include: research misconduct, editorial bias (if not explicitly talking about peer review), failure to repeat work, </w:t>
            </w:r>
            <w:r w:rsidRPr="00620D7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expectations of repetition before publishing, handling of retractions, options for publishing negative data, </w:t>
            </w:r>
            <w:r w:rsidRPr="00620D72">
              <w:rPr>
                <w:rFonts w:ascii="Times New Roman" w:eastAsia="Times New Roman" w:hAnsi="Times New Roman" w:cs="Times New Roman"/>
                <w:sz w:val="20"/>
                <w:szCs w:val="24"/>
              </w:rPr>
              <w:t>overreaching on conclusions, etc.</w:t>
            </w:r>
            <w:r w:rsidRPr="00620D7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73A8EDDF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BA7F92" w14:textId="77777777" w:rsidR="00986DC2" w:rsidRPr="009B119D" w:rsidRDefault="00986DC2" w:rsidP="004E6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4F18D4" w14:textId="77777777" w:rsidR="00367E0D" w:rsidRPr="00986DC2" w:rsidRDefault="00367E0D" w:rsidP="00986DC2">
      <w:bookmarkStart w:id="0" w:name="_GoBack"/>
      <w:bookmarkEnd w:id="0"/>
    </w:p>
    <w:sectPr w:rsidR="00367E0D" w:rsidRPr="00986DC2" w:rsidSect="00986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6447C" w14:textId="77777777" w:rsidR="00D35304" w:rsidRDefault="00D35304" w:rsidP="00FE05AC">
      <w:pPr>
        <w:spacing w:after="0" w:line="240" w:lineRule="auto"/>
      </w:pPr>
      <w:r>
        <w:separator/>
      </w:r>
    </w:p>
  </w:endnote>
  <w:endnote w:type="continuationSeparator" w:id="0">
    <w:p w14:paraId="521262F2" w14:textId="77777777" w:rsidR="00D35304" w:rsidRDefault="00D35304" w:rsidP="00FE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FC38" w14:textId="77777777" w:rsidR="00044482" w:rsidRDefault="0004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3F20E" w14:textId="764B94E8" w:rsidR="00FE05AC" w:rsidRDefault="00FE05AC" w:rsidP="000129F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DFC79" w14:textId="77777777" w:rsidR="00044482" w:rsidRDefault="0004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9E590" w14:textId="77777777" w:rsidR="00D35304" w:rsidRDefault="00D35304" w:rsidP="00FE05AC">
      <w:pPr>
        <w:spacing w:after="0" w:line="240" w:lineRule="auto"/>
      </w:pPr>
      <w:r>
        <w:separator/>
      </w:r>
    </w:p>
  </w:footnote>
  <w:footnote w:type="continuationSeparator" w:id="0">
    <w:p w14:paraId="566C9C6E" w14:textId="77777777" w:rsidR="00D35304" w:rsidRDefault="00D35304" w:rsidP="00FE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8166" w14:textId="77777777" w:rsidR="00044482" w:rsidRDefault="0004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DEB1" w14:textId="77777777" w:rsidR="00044482" w:rsidRDefault="00044482" w:rsidP="0004448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43DC" w14:textId="77777777" w:rsidR="00044482" w:rsidRDefault="0004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13D1"/>
    <w:multiLevelType w:val="hybridMultilevel"/>
    <w:tmpl w:val="9EAE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11D4"/>
    <w:multiLevelType w:val="hybridMultilevel"/>
    <w:tmpl w:val="65C0E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640D"/>
    <w:multiLevelType w:val="hybridMultilevel"/>
    <w:tmpl w:val="26CEF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C098C"/>
    <w:multiLevelType w:val="hybridMultilevel"/>
    <w:tmpl w:val="D1289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3EC5"/>
    <w:multiLevelType w:val="hybridMultilevel"/>
    <w:tmpl w:val="4684C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5198"/>
    <w:multiLevelType w:val="hybridMultilevel"/>
    <w:tmpl w:val="E03C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97D3A"/>
    <w:multiLevelType w:val="hybridMultilevel"/>
    <w:tmpl w:val="FE989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3573D"/>
    <w:multiLevelType w:val="hybridMultilevel"/>
    <w:tmpl w:val="E48E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F44C5"/>
    <w:multiLevelType w:val="hybridMultilevel"/>
    <w:tmpl w:val="DC52F6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A74831"/>
    <w:multiLevelType w:val="multilevel"/>
    <w:tmpl w:val="A602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E4701"/>
    <w:multiLevelType w:val="hybridMultilevel"/>
    <w:tmpl w:val="89D40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E3"/>
    <w:rsid w:val="00006C69"/>
    <w:rsid w:val="00011DE9"/>
    <w:rsid w:val="000129F0"/>
    <w:rsid w:val="00025816"/>
    <w:rsid w:val="00044482"/>
    <w:rsid w:val="00190244"/>
    <w:rsid w:val="001B0B26"/>
    <w:rsid w:val="001B1FC8"/>
    <w:rsid w:val="0024147B"/>
    <w:rsid w:val="0025672A"/>
    <w:rsid w:val="00276F5A"/>
    <w:rsid w:val="002C6E8B"/>
    <w:rsid w:val="003010A0"/>
    <w:rsid w:val="00313085"/>
    <w:rsid w:val="00321BA5"/>
    <w:rsid w:val="00367E0D"/>
    <w:rsid w:val="0037279F"/>
    <w:rsid w:val="0037614F"/>
    <w:rsid w:val="003B37E3"/>
    <w:rsid w:val="003E672B"/>
    <w:rsid w:val="003F7BE0"/>
    <w:rsid w:val="00411FCD"/>
    <w:rsid w:val="00413A9C"/>
    <w:rsid w:val="00511D50"/>
    <w:rsid w:val="00620D72"/>
    <w:rsid w:val="00625605"/>
    <w:rsid w:val="006D3EB3"/>
    <w:rsid w:val="00705CF5"/>
    <w:rsid w:val="007C0B14"/>
    <w:rsid w:val="00915E1D"/>
    <w:rsid w:val="00964392"/>
    <w:rsid w:val="00986DC2"/>
    <w:rsid w:val="009A4F3E"/>
    <w:rsid w:val="009B079B"/>
    <w:rsid w:val="009C7D64"/>
    <w:rsid w:val="009F6FB4"/>
    <w:rsid w:val="00A74BEF"/>
    <w:rsid w:val="00A82C7B"/>
    <w:rsid w:val="00AF7779"/>
    <w:rsid w:val="00B3401A"/>
    <w:rsid w:val="00B37FAE"/>
    <w:rsid w:val="00B61DE6"/>
    <w:rsid w:val="00BC0316"/>
    <w:rsid w:val="00C17B00"/>
    <w:rsid w:val="00D26C97"/>
    <w:rsid w:val="00D35304"/>
    <w:rsid w:val="00D75CD7"/>
    <w:rsid w:val="00D9622B"/>
    <w:rsid w:val="00DD5E54"/>
    <w:rsid w:val="00DE51C4"/>
    <w:rsid w:val="00E115B5"/>
    <w:rsid w:val="00E1540F"/>
    <w:rsid w:val="00E15E87"/>
    <w:rsid w:val="00E6690E"/>
    <w:rsid w:val="00EE086C"/>
    <w:rsid w:val="00EF1494"/>
    <w:rsid w:val="00FA5037"/>
    <w:rsid w:val="00F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0271"/>
  <w15:chartTrackingRefBased/>
  <w15:docId w15:val="{6B4AC851-11D9-42CB-A57D-CFFC3531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D72"/>
  </w:style>
  <w:style w:type="paragraph" w:styleId="Heading2">
    <w:name w:val="heading 2"/>
    <w:basedOn w:val="Normal"/>
    <w:next w:val="Normal"/>
    <w:link w:val="Heading2Char"/>
    <w:qFormat/>
    <w:rsid w:val="00D75CD7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Times New Roman" w:hAnsi="Arial" w:cs="Arial"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C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7E3"/>
    <w:pPr>
      <w:ind w:left="720"/>
      <w:contextualSpacing/>
    </w:pPr>
  </w:style>
  <w:style w:type="table" w:styleId="TableGrid">
    <w:name w:val="Table Grid"/>
    <w:basedOn w:val="TableNormal"/>
    <w:uiPriority w:val="39"/>
    <w:rsid w:val="003B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75CD7"/>
    <w:rPr>
      <w:rFonts w:ascii="Arial" w:eastAsia="Times New Roman" w:hAnsi="Arial" w:cs="Arial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75CD7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CD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7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5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CD7"/>
    <w:pPr>
      <w:spacing w:before="120"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CD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C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AC"/>
  </w:style>
  <w:style w:type="paragraph" w:styleId="Footer">
    <w:name w:val="footer"/>
    <w:basedOn w:val="Normal"/>
    <w:link w:val="FooterChar"/>
    <w:uiPriority w:val="99"/>
    <w:unhideWhenUsed/>
    <w:rsid w:val="00FE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AC"/>
  </w:style>
  <w:style w:type="character" w:customStyle="1" w:styleId="highwire-citation-author">
    <w:name w:val="highwire-citation-author"/>
    <w:basedOn w:val="DefaultParagraphFont"/>
    <w:rsid w:val="00986DC2"/>
  </w:style>
  <w:style w:type="character" w:customStyle="1" w:styleId="highwire-cite-metadata-journal">
    <w:name w:val="highwire-cite-metadata-journal"/>
    <w:basedOn w:val="DefaultParagraphFont"/>
    <w:rsid w:val="00986DC2"/>
  </w:style>
  <w:style w:type="character" w:customStyle="1" w:styleId="highwire-cite-metadata-volume">
    <w:name w:val="highwire-cite-metadata-volume"/>
    <w:basedOn w:val="DefaultParagraphFont"/>
    <w:rsid w:val="00986DC2"/>
  </w:style>
  <w:style w:type="character" w:customStyle="1" w:styleId="highwire-cite-metadata-issue">
    <w:name w:val="highwire-cite-metadata-issue"/>
    <w:basedOn w:val="DefaultParagraphFont"/>
    <w:rsid w:val="00986DC2"/>
  </w:style>
  <w:style w:type="character" w:customStyle="1" w:styleId="highwire-cite-metadata-pages">
    <w:name w:val="highwire-cite-metadata-pages"/>
    <w:basedOn w:val="DefaultParagraphFont"/>
    <w:rsid w:val="00986DC2"/>
  </w:style>
  <w:style w:type="character" w:customStyle="1" w:styleId="highwire-cite-metadata-papdate">
    <w:name w:val="highwire-cite-metadata-papdate"/>
    <w:basedOn w:val="DefaultParagraphFont"/>
    <w:rsid w:val="00986DC2"/>
  </w:style>
  <w:style w:type="character" w:customStyle="1" w:styleId="highwire-cite-metadata-doi">
    <w:name w:val="highwire-cite-metadata-doi"/>
    <w:basedOn w:val="DefaultParagraphFont"/>
    <w:rsid w:val="0098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Kalichman</dc:creator>
  <cp:keywords/>
  <dc:description/>
  <cp:lastModifiedBy>Kalichman, Michael</cp:lastModifiedBy>
  <cp:revision>4</cp:revision>
  <cp:lastPrinted>2019-05-10T22:57:00Z</cp:lastPrinted>
  <dcterms:created xsi:type="dcterms:W3CDTF">2019-10-03T14:20:00Z</dcterms:created>
  <dcterms:modified xsi:type="dcterms:W3CDTF">2019-12-17T02:06:00Z</dcterms:modified>
</cp:coreProperties>
</file>